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application/x-font-ttf" Extension="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pStyle w:val="Heading1"/>
        <w:keepNext w:val="0"/>
        <w:keepLines w:val="0"/>
        <w:spacing w:before="0" w:lineRule="auto"/>
        <w:rPr>
          <w:rFonts w:ascii="Montserrat" w:cs="Montserrat" w:eastAsia="Montserrat" w:hAnsi="Montserrat"/>
          <w:b w:val="1"/>
          <w:i w:val="1"/>
          <w:color w:val="004884"/>
          <w:sz w:val="46"/>
          <w:szCs w:val="46"/>
          <w:highlight w:val="white"/>
        </w:rPr>
      </w:pPr>
      <w:bookmarkStart w:colFirst="0" w:colLast="0" w:name="_iu8jyvc6w6ln" w:id="0"/>
      <w:bookmarkEnd w:id="0"/>
      <w:r w:rsidDel="00000000" w:rsidR="00000000" w:rsidRPr="00000000">
        <w:rPr>
          <w:rFonts w:ascii="Montserrat" w:cs="Montserrat" w:eastAsia="Montserrat" w:hAnsi="Montserrat"/>
          <w:b w:val="1"/>
          <w:i w:val="1"/>
          <w:color w:val="004884"/>
          <w:sz w:val="46"/>
          <w:szCs w:val="46"/>
          <w:highlight w:val="white"/>
          <w:rtl w:val="0"/>
        </w:rPr>
        <w:t xml:space="preserve">Operativo de recuperación del espacio público en Tunjuelito</w:t>
      </w:r>
    </w:p>
    <w:p w:rsidR="00000000" w:rsidDel="00000000" w:rsidP="00000000" w:rsidRDefault="00000000" w:rsidRPr="00000000" w14:paraId="00000002">
      <w:pPr>
        <w:shd w:fill="ffffff" w:val="clear"/>
        <w:spacing w:after="240" w:lineRule="auto"/>
        <w:ind w:left="-180" w:right="-180" w:firstLine="0"/>
        <w:rPr>
          <w:rFonts w:ascii="Montserrat" w:cs="Montserrat" w:eastAsia="Montserrat" w:hAnsi="Montserrat"/>
          <w:b w:val="1"/>
          <w:i w:val="1"/>
          <w:color w:val="004884"/>
          <w:sz w:val="46"/>
          <w:szCs w:val="46"/>
          <w:highlight w:val="white"/>
        </w:rPr>
      </w:pPr>
      <w:r w:rsidDel="00000000" w:rsidR="00000000" w:rsidRPr="00000000">
        <w:rPr>
          <w:rFonts w:ascii="Montserrat" w:cs="Montserrat" w:eastAsia="Montserrat" w:hAnsi="Montserrat"/>
          <w:b w:val="1"/>
          <w:i w:val="1"/>
          <w:color w:val="004884"/>
          <w:sz w:val="46"/>
          <w:szCs w:val="46"/>
          <w:highlight w:val="white"/>
        </w:rPr>
        <w:drawing>
          <wp:inline distB="114300" distT="114300" distL="114300" distR="114300">
            <wp:extent cx="5731200" cy="3822700"/>
            <wp:effectExtent b="0" l="0" r="0" t="0"/>
            <wp:docPr descr="Operativo de recuperación del espacio público en Tunjuelito" id="2" name="image2.jpg"/>
            <a:graphic>
              <a:graphicData uri="http://schemas.openxmlformats.org/drawingml/2006/picture">
                <pic:pic>
                  <pic:nvPicPr>
                    <pic:cNvPr descr="Operativo de recuperación del espacio público en Tunjuelito" id="0" name="image2.jpg"/>
                    <pic:cNvPicPr preferRelativeResize="0"/>
                  </pic:nvPicPr>
                  <pic:blipFill>
                    <a:blip r:embed="rId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38227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3">
      <w:pPr>
        <w:shd w:fill="ffffff" w:val="clear"/>
        <w:spacing w:after="240" w:lineRule="auto"/>
        <w:ind w:left="-180" w:right="-180" w:firstLine="0"/>
        <w:rPr>
          <w:rFonts w:ascii="Roboto" w:cs="Roboto" w:eastAsia="Roboto" w:hAnsi="Roboto"/>
          <w:i w:val="1"/>
          <w:color w:val="212529"/>
          <w:sz w:val="24"/>
          <w:szCs w:val="24"/>
          <w:highlight w:val="white"/>
        </w:rPr>
      </w:pPr>
      <w:r w:rsidDel="00000000" w:rsidR="00000000" w:rsidRPr="00000000">
        <w:rPr>
          <w:rFonts w:ascii="Roboto" w:cs="Roboto" w:eastAsia="Roboto" w:hAnsi="Roboto"/>
          <w:i w:val="1"/>
          <w:color w:val="212529"/>
          <w:sz w:val="24"/>
          <w:szCs w:val="24"/>
          <w:highlight w:val="white"/>
          <w:rtl w:val="0"/>
        </w:rPr>
        <w:t xml:space="preserve">Operativo de recuperación del espacio público en Tunjuelito</w:t>
      </w:r>
    </w:p>
    <w:p w:rsidR="00000000" w:rsidDel="00000000" w:rsidP="00000000" w:rsidRDefault="00000000" w:rsidRPr="00000000" w14:paraId="00000004">
      <w:pPr>
        <w:shd w:fill="ffffff" w:val="clear"/>
        <w:spacing w:after="240" w:lineRule="auto"/>
        <w:ind w:left="-180" w:right="-180" w:firstLine="0"/>
        <w:jc w:val="both"/>
        <w:rPr>
          <w:rFonts w:ascii="Roboto" w:cs="Roboto" w:eastAsia="Roboto" w:hAnsi="Roboto"/>
          <w:i w:val="1"/>
          <w:color w:val="212529"/>
          <w:sz w:val="24"/>
          <w:szCs w:val="24"/>
          <w:highlight w:val="white"/>
        </w:rPr>
      </w:pP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rPr>
          <w:rFonts w:ascii="Roboto" w:cs="Roboto" w:eastAsia="Roboto" w:hAnsi="Roboto"/>
          <w:i w:val="1"/>
          <w:color w:val="212529"/>
          <w:sz w:val="24"/>
          <w:szCs w:val="24"/>
          <w:highlight w:val="white"/>
          <w:rtl w:val="0"/>
        </w:rPr>
        <w:t xml:space="preserve">Operativo de recuperación del espacio público en Tunjuelito</w:t>
      </w: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5">
      <w:pPr>
        <w:shd w:fill="ffffff" w:val="clear"/>
        <w:spacing w:after="240" w:lineRule="auto"/>
        <w:ind w:left="-180" w:right="-180" w:firstLine="0"/>
        <w:rPr>
          <w:rFonts w:ascii="Roboto" w:cs="Roboto" w:eastAsia="Roboto" w:hAnsi="Roboto"/>
          <w:b w:val="1"/>
          <w:i w:val="1"/>
          <w:color w:val="212529"/>
          <w:sz w:val="24"/>
          <w:szCs w:val="24"/>
          <w:highlight w:val="white"/>
        </w:rPr>
      </w:pPr>
      <w:r w:rsidDel="00000000" w:rsidR="00000000" w:rsidRPr="00000000">
        <w:rPr>
          <w:rFonts w:ascii="Roboto" w:cs="Roboto" w:eastAsia="Roboto" w:hAnsi="Roboto"/>
          <w:b w:val="1"/>
          <w:i w:val="1"/>
          <w:color w:val="212529"/>
          <w:sz w:val="24"/>
          <w:szCs w:val="24"/>
          <w:highlight w:val="white"/>
          <w:rtl w:val="0"/>
        </w:rPr>
        <w:t xml:space="preserve">Viviana Triana</w:t>
      </w:r>
    </w:p>
    <w:p w:rsidR="00000000" w:rsidDel="00000000" w:rsidP="00000000" w:rsidRDefault="00000000" w:rsidRPr="00000000" w14:paraId="00000006">
      <w:pPr>
        <w:shd w:fill="ffffff" w:val="clear"/>
        <w:spacing w:after="240" w:lineRule="auto"/>
        <w:ind w:left="-180" w:right="-180" w:firstLine="0"/>
        <w:jc w:val="right"/>
        <w:rPr>
          <w:rFonts w:ascii="Roboto" w:cs="Roboto" w:eastAsia="Roboto" w:hAnsi="Roboto"/>
          <w:i w:val="1"/>
          <w:color w:val="212529"/>
          <w:sz w:val="24"/>
          <w:szCs w:val="24"/>
          <w:highlight w:val="white"/>
        </w:rPr>
      </w:pPr>
      <w:r w:rsidDel="00000000" w:rsidR="00000000" w:rsidRPr="00000000">
        <w:rPr>
          <w:rFonts w:ascii="Roboto" w:cs="Roboto" w:eastAsia="Roboto" w:hAnsi="Roboto"/>
          <w:i w:val="1"/>
          <w:color w:val="212529"/>
          <w:sz w:val="24"/>
          <w:szCs w:val="24"/>
          <w:highlight w:val="white"/>
          <w:rtl w:val="0"/>
        </w:rPr>
        <w:t xml:space="preserve">01/07/2025</w:t>
      </w:r>
    </w:p>
    <w:p w:rsidR="00000000" w:rsidDel="00000000" w:rsidP="00000000" w:rsidRDefault="00000000" w:rsidRPr="00000000" w14:paraId="00000007">
      <w:pPr>
        <w:shd w:fill="ffffff" w:val="clear"/>
        <w:spacing w:after="240" w:lineRule="auto"/>
        <w:ind w:left="-180" w:right="-180" w:firstLine="0"/>
        <w:rPr>
          <w:rFonts w:ascii="Roboto" w:cs="Roboto" w:eastAsia="Roboto" w:hAnsi="Roboto"/>
          <w:i w:val="1"/>
          <w:color w:val="212529"/>
          <w:sz w:val="24"/>
          <w:szCs w:val="24"/>
          <w:highlight w:val="white"/>
        </w:rPr>
      </w:pPr>
      <w:r w:rsidDel="00000000" w:rsidR="00000000" w:rsidRPr="00000000">
        <w:rPr>
          <w:rFonts w:ascii="Roboto" w:cs="Roboto" w:eastAsia="Roboto" w:hAnsi="Roboto"/>
          <w:i w:val="1"/>
          <w:color w:val="212529"/>
          <w:sz w:val="24"/>
          <w:szCs w:val="24"/>
          <w:highlight w:val="white"/>
          <w:rtl w:val="0"/>
        </w:rPr>
        <w:t xml:space="preserve">Bogotá, 1 de julio de 2025. En un operativo de Inspección, Vigilancia y Control (IVC) para la recuperación del espacio público en la localidad de Tunjuelito, la Secretaría Distrital de Gobierno, en articulación con la Policía Metropolitana y la Secretaría de Integración Social, intervinieron los barrios El Tunal y San Carlos, logrando el desmonte de tres cambuches instalados en zonas estratégicas de la localidad.</w:t>
      </w:r>
    </w:p>
    <w:p w:rsidR="00000000" w:rsidDel="00000000" w:rsidP="00000000" w:rsidRDefault="00000000" w:rsidRPr="00000000" w14:paraId="00000008">
      <w:pPr>
        <w:shd w:fill="ffffff" w:val="clear"/>
        <w:spacing w:after="240" w:lineRule="auto"/>
        <w:ind w:left="-180" w:right="-180" w:firstLine="0"/>
        <w:rPr>
          <w:rFonts w:ascii="Roboto" w:cs="Roboto" w:eastAsia="Roboto" w:hAnsi="Roboto"/>
          <w:i w:val="1"/>
          <w:color w:val="212529"/>
          <w:sz w:val="24"/>
          <w:szCs w:val="24"/>
          <w:highlight w:val="white"/>
        </w:rPr>
      </w:pPr>
      <w:r w:rsidDel="00000000" w:rsidR="00000000" w:rsidRPr="00000000">
        <w:rPr>
          <w:rFonts w:ascii="Roboto" w:cs="Roboto" w:eastAsia="Roboto" w:hAnsi="Roboto"/>
          <w:i w:val="1"/>
          <w:color w:val="212529"/>
          <w:sz w:val="24"/>
          <w:szCs w:val="24"/>
          <w:highlight w:val="white"/>
          <w:rtl w:val="0"/>
        </w:rPr>
        <w:t xml:space="preserve">Durante las intervenciones, las autoridades recogieron aproximadamente 10 metros cúbicos de residuos y materiales inservibles, incautaron dos armas blancas e impusieron comparendos por la tenencia de estos elementos, en cumplimiento de la normativa vigente.</w:t>
      </w:r>
    </w:p>
    <w:p w:rsidR="00000000" w:rsidDel="00000000" w:rsidP="00000000" w:rsidRDefault="00000000" w:rsidRPr="00000000" w14:paraId="00000009">
      <w:pPr>
        <w:shd w:fill="ffffff" w:val="clear"/>
        <w:spacing w:after="240" w:lineRule="auto"/>
        <w:ind w:left="-180" w:right="-180" w:firstLine="0"/>
        <w:rPr>
          <w:rFonts w:ascii="Roboto" w:cs="Roboto" w:eastAsia="Roboto" w:hAnsi="Roboto"/>
          <w:i w:val="1"/>
          <w:color w:val="212529"/>
          <w:sz w:val="24"/>
          <w:szCs w:val="24"/>
          <w:highlight w:val="white"/>
        </w:rPr>
      </w:pPr>
      <w:r w:rsidDel="00000000" w:rsidR="00000000" w:rsidRPr="00000000">
        <w:rPr>
          <w:rFonts w:ascii="Roboto" w:cs="Roboto" w:eastAsia="Roboto" w:hAnsi="Roboto"/>
          <w:i w:val="1"/>
          <w:color w:val="212529"/>
          <w:sz w:val="24"/>
          <w:szCs w:val="24"/>
          <w:highlight w:val="white"/>
          <w:rtl w:val="0"/>
        </w:rPr>
        <w:t xml:space="preserve">Estas acciones hacen parte de la estrategia de Inspección, Vigilancia y Control (IVC), que busca proteger el espacio público, mejorar la seguridad y promover entornos inspiradores para la comunidad.</w:t>
      </w:r>
    </w:p>
    <w:p w:rsidR="00000000" w:rsidDel="00000000" w:rsidP="00000000" w:rsidRDefault="00000000" w:rsidRPr="00000000" w14:paraId="0000000A">
      <w:pPr>
        <w:shd w:fill="ffffff" w:val="clear"/>
        <w:spacing w:after="240" w:lineRule="auto"/>
        <w:ind w:left="-180" w:right="-180" w:firstLine="0"/>
        <w:rPr>
          <w:rFonts w:ascii="Roboto" w:cs="Roboto" w:eastAsia="Roboto" w:hAnsi="Roboto"/>
          <w:i w:val="1"/>
          <w:color w:val="212529"/>
          <w:sz w:val="24"/>
          <w:szCs w:val="24"/>
          <w:highlight w:val="white"/>
        </w:rPr>
      </w:pPr>
      <w:r w:rsidDel="00000000" w:rsidR="00000000" w:rsidRPr="00000000">
        <w:rPr>
          <w:rFonts w:ascii="Roboto" w:cs="Roboto" w:eastAsia="Roboto" w:hAnsi="Roboto"/>
          <w:i w:val="1"/>
          <w:color w:val="212529"/>
          <w:sz w:val="24"/>
          <w:szCs w:val="24"/>
          <w:highlight w:val="white"/>
          <w:rtl w:val="0"/>
        </w:rPr>
        <w:t xml:space="preserve">La Alcaldía Local de Tunjuelito reitera su compromiso con el bienestar de las y los habitantes y hace un llamado a la ciudadanía para denunciar el uso indebido del espacio público y la instalación de estructuras improvisadas que ponen en riesgo la seguridad y la convivencia.</w:t>
      </w:r>
    </w:p>
    <w:p w:rsidR="00000000" w:rsidDel="00000000" w:rsidP="00000000" w:rsidRDefault="00000000" w:rsidRPr="00000000" w14:paraId="0000000B">
      <w:pPr>
        <w:shd w:fill="ffffff" w:val="clear"/>
        <w:spacing w:after="240" w:lineRule="auto"/>
        <w:ind w:left="-180" w:right="-180" w:firstLine="0"/>
        <w:rPr>
          <w:rFonts w:ascii="Roboto" w:cs="Roboto" w:eastAsia="Roboto" w:hAnsi="Roboto"/>
          <w:i w:val="1"/>
          <w:color w:val="212529"/>
          <w:sz w:val="24"/>
          <w:szCs w:val="24"/>
          <w:highlight w:val="white"/>
        </w:rPr>
      </w:pPr>
      <w:r w:rsidDel="00000000" w:rsidR="00000000" w:rsidRPr="00000000">
        <w:rPr>
          <w:rFonts w:ascii="Roboto" w:cs="Roboto" w:eastAsia="Roboto" w:hAnsi="Roboto"/>
          <w:i w:val="1"/>
          <w:color w:val="212529"/>
          <w:sz w:val="24"/>
          <w:szCs w:val="24"/>
          <w:highlight w:val="white"/>
          <w:rtl w:val="0"/>
        </w:rPr>
        <w:t xml:space="preserve">Las intervenciones continuarán en puntos críticos de la localidad, con el objetivo de garantizar que la comunidad pueda disfrutar de un entorno limpio, seguro y ordenado.</w:t>
      </w:r>
    </w:p>
    <w:tbl>
      <w:tblPr>
        <w:tblStyle w:val="Table1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9029"/>
        <w:tblGridChange w:id="0">
          <w:tblGrid>
            <w:gridCol w:w="9029"/>
          </w:tblGrid>
        </w:tblGridChange>
      </w:tblGrid>
    </w:tbl>
    <w:p w:rsidR="00000000" w:rsidDel="00000000" w:rsidP="00000000" w:rsidRDefault="00000000" w:rsidRPr="00000000" w14:paraId="0000000C">
      <w:pPr>
        <w:spacing w:after="240" w:lineRule="auto"/>
        <w:ind w:left="-180" w:right="-180" w:firstLine="0"/>
        <w:rPr>
          <w:rFonts w:ascii="Roboto" w:cs="Roboto" w:eastAsia="Roboto" w:hAnsi="Roboto"/>
          <w:i w:val="1"/>
          <w:color w:val="212529"/>
          <w:sz w:val="24"/>
          <w:szCs w:val="24"/>
          <w:highlight w:val="white"/>
        </w:rPr>
      </w:pPr>
      <w:r w:rsidDel="00000000" w:rsidR="00000000" w:rsidRPr="00000000">
        <w:rPr>
          <w:rtl w:val="0"/>
        </w:rPr>
      </w:r>
    </w:p>
    <w:tbl>
      <w:tblPr>
        <w:tblStyle w:val="Table2"/>
        <w:tblW w:w="9025.511811023624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8802.539983253975"/>
        <w:gridCol w:w="222.97182776964914"/>
        <w:tblGridChange w:id="0">
          <w:tblGrid>
            <w:gridCol w:w="8802.539983253975"/>
            <w:gridCol w:w="222.97182776964914"/>
          </w:tblGrid>
        </w:tblGridChange>
      </w:tblGrid>
      <w:tr>
        <w:trPr>
          <w:cantSplit w:val="0"/>
          <w:trHeight w:val="6140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0D">
            <w:pPr>
              <w:spacing w:after="240" w:lineRule="auto"/>
              <w:ind w:left="-180" w:right="-180" w:firstLine="0"/>
              <w:rPr>
                <w:rFonts w:ascii="Roboto" w:cs="Roboto" w:eastAsia="Roboto" w:hAnsi="Roboto"/>
                <w:i w:val="1"/>
                <w:color w:val="212529"/>
                <w:sz w:val="24"/>
                <w:szCs w:val="24"/>
                <w:highlight w:val="white"/>
              </w:rPr>
            </w:pPr>
            <w:r w:rsidDel="00000000" w:rsidR="00000000" w:rsidRPr="00000000">
              <w:rPr>
                <w:rFonts w:ascii="Roboto" w:cs="Roboto" w:eastAsia="Roboto" w:hAnsi="Roboto"/>
                <w:i w:val="1"/>
                <w:color w:val="212529"/>
                <w:sz w:val="24"/>
                <w:szCs w:val="24"/>
                <w:highlight w:val="white"/>
              </w:rPr>
              <w:drawing>
                <wp:inline distB="114300" distT="114300" distL="114300" distR="114300">
                  <wp:extent cx="5731200" cy="3835400"/>
                  <wp:effectExtent b="0" l="0" r="0" t="0"/>
                  <wp:docPr descr="Las autoridades recogieron aproximadamente 10 metros cúbicos de residuos y materiales inservibles e incautaron dos armas blancas. Foto: alcaldía local Tunjuelito " id="1" name="image1.jpg"/>
                  <a:graphic>
                    <a:graphicData uri="http://schemas.openxmlformats.org/drawingml/2006/picture">
                      <pic:pic>
                        <pic:nvPicPr>
                          <pic:cNvPr descr="Las autoridades recogieron aproximadamente 10 metros cúbicos de residuos y materiales inservibles e incautaron dos armas blancas. Foto: alcaldía local Tunjuelito " id="0" name="image1.jpg"/>
                          <pic:cNvPicPr preferRelativeResize="0"/>
                        </pic:nvPicPr>
                        <pic:blipFill>
                          <a:blip r:embed="rId7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31200" cy="38354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0E">
            <w:pPr>
              <w:spacing w:after="240" w:lineRule="auto"/>
              <w:ind w:left="-180" w:right="-180" w:firstLine="0"/>
              <w:rPr>
                <w:rFonts w:ascii="Roboto" w:cs="Roboto" w:eastAsia="Roboto" w:hAnsi="Roboto"/>
                <w:i w:val="1"/>
                <w:color w:val="212529"/>
                <w:sz w:val="24"/>
                <w:szCs w:val="24"/>
                <w:highlight w:val="white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0F">
      <w:pPr>
        <w:spacing w:after="240" w:lineRule="auto"/>
        <w:ind w:left="-180" w:right="-180" w:firstLine="0"/>
        <w:rPr>
          <w:rFonts w:ascii="Roboto" w:cs="Roboto" w:eastAsia="Roboto" w:hAnsi="Roboto"/>
          <w:i w:val="1"/>
          <w:color w:val="212529"/>
          <w:sz w:val="24"/>
          <w:szCs w:val="24"/>
          <w:highlight w:val="whit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0">
      <w:pPr>
        <w:spacing w:after="240" w:lineRule="auto"/>
        <w:ind w:left="-180" w:right="-180" w:firstLine="0"/>
        <w:rPr>
          <w:rFonts w:ascii="Roboto" w:cs="Roboto" w:eastAsia="Roboto" w:hAnsi="Roboto"/>
          <w:color w:val="212529"/>
          <w:sz w:val="24"/>
          <w:szCs w:val="24"/>
          <w:highlight w:val="whit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1">
      <w:pPr>
        <w:spacing w:after="240" w:lineRule="auto"/>
        <w:ind w:left="-180" w:right="-180" w:firstLine="0"/>
        <w:rPr/>
      </w:pPr>
      <w:r w:rsidDel="00000000" w:rsidR="00000000" w:rsidRPr="00000000">
        <w:rPr>
          <w:rtl w:val="0"/>
        </w:rPr>
      </w:r>
    </w:p>
    <w:sectPr>
      <w:pgSz w:h="16834" w:w="11909" w:orient="portrait"/>
      <w:pgMar w:bottom="1440" w:top="1440" w:left="1440" w:right="1440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Roboto">
    <w:embedRegular w:fontKey="{00000000-0000-0000-0000-000000000000}" r:id="rId1" w:subsetted="0"/>
    <w:embedBold w:fontKey="{00000000-0000-0000-0000-000000000000}" r:id="rId2" w:subsetted="0"/>
    <w:embedItalic w:fontKey="{00000000-0000-0000-0000-000000000000}" r:id="rId3" w:subsetted="0"/>
    <w:embedBoldItalic w:fontKey="{00000000-0000-0000-0000-000000000000}" r:id="rId4" w:subsetted="0"/>
  </w:font>
  <w:font w:name="Montserrat">
    <w:embedRegular w:fontKey="{00000000-0000-0000-0000-000000000000}" r:id="rId5" w:subsetted="0"/>
    <w:embedBold w:fontKey="{00000000-0000-0000-0000-000000000000}" r:id="rId6" w:subsetted="0"/>
    <w:embedItalic w:fontKey="{00000000-0000-0000-0000-000000000000}" r:id="rId7" w:subsetted="0"/>
    <w:embedBoldItalic w:fontKey="{00000000-0000-0000-0000-000000000000}" r:id="rId8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es"/>
      </w:rPr>
    </w:rPrDefault>
    <w:pPrDefault>
      <w:pPr>
        <w:spacing w:line="276" w:lineRule="auto"/>
      </w:pPr>
    </w:pPrDefault>
  </w:docDefaults>
  <w:style w:type="paragraph" w:styleId="Normal" w:default="1">
    <w:name w:val="normal"/>
  </w:style>
  <w:style w:type="table" w:styleId="TableNormal" w:default="1">
    <w:name w:val="Table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  <w:style w:type="table" w:styleId="Table1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  <w:tcPr>
      <w:shd w:fill="ffffff" w:val="clear"/>
    </w:tcPr>
  </w:style>
  <w:style w:type="table" w:styleId="Table2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  <w:tcPr>
      <w:shd w:fill="ffffff" w:val="clear"/>
    </w:tc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2.jpg"/><Relationship Id="rId7" Type="http://schemas.openxmlformats.org/officeDocument/2006/relationships/image" Target="media/image1.jp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Roboto-regular.ttf"/><Relationship Id="rId2" Type="http://schemas.openxmlformats.org/officeDocument/2006/relationships/font" Target="fonts/Roboto-bold.ttf"/><Relationship Id="rId3" Type="http://schemas.openxmlformats.org/officeDocument/2006/relationships/font" Target="fonts/Roboto-italic.ttf"/><Relationship Id="rId4" Type="http://schemas.openxmlformats.org/officeDocument/2006/relationships/font" Target="fonts/Roboto-boldItalic.ttf"/><Relationship Id="rId5" Type="http://schemas.openxmlformats.org/officeDocument/2006/relationships/font" Target="fonts/Montserrat-regular.ttf"/><Relationship Id="rId6" Type="http://schemas.openxmlformats.org/officeDocument/2006/relationships/font" Target="fonts/Montserrat-bold.ttf"/><Relationship Id="rId7" Type="http://schemas.openxmlformats.org/officeDocument/2006/relationships/font" Target="fonts/Montserrat-italic.ttf"/><Relationship Id="rId8" Type="http://schemas.openxmlformats.org/officeDocument/2006/relationships/font" Target="fonts/Montserrat-boldItalic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